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67" w:rsidRPr="00326667" w:rsidRDefault="008D4C76" w:rsidP="003266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0931">
        <w:rPr>
          <w:rFonts w:ascii="Times New Roman" w:hAnsi="Times New Roman" w:cs="Times New Roman"/>
          <w:b/>
          <w:sz w:val="24"/>
          <w:szCs w:val="24"/>
        </w:rPr>
        <w:t>Недосекин Алексей Олегович,</w:t>
      </w:r>
      <w:r w:rsidRPr="008D4C76">
        <w:rPr>
          <w:rFonts w:ascii="Times New Roman" w:hAnsi="Times New Roman" w:cs="Times New Roman"/>
          <w:sz w:val="24"/>
          <w:szCs w:val="24"/>
        </w:rPr>
        <w:t xml:space="preserve"> профессор, д.э.н., к.т.н., </w:t>
      </w:r>
      <w:r w:rsidR="006145EB">
        <w:rPr>
          <w:rFonts w:ascii="Times New Roman" w:hAnsi="Times New Roman" w:cs="Times New Roman"/>
          <w:sz w:val="24"/>
          <w:szCs w:val="24"/>
        </w:rPr>
        <w:t>академик МАНЭБ,</w:t>
      </w:r>
      <w:r w:rsidR="006145EB">
        <w:rPr>
          <w:rFonts w:ascii="Times New Roman" w:hAnsi="Times New Roman" w:cs="Times New Roman"/>
          <w:sz w:val="24"/>
          <w:szCs w:val="24"/>
        </w:rPr>
        <w:br/>
      </w:r>
      <w:r w:rsidRPr="008D4C76">
        <w:rPr>
          <w:rFonts w:ascii="Times New Roman" w:hAnsi="Times New Roman" w:cs="Times New Roman"/>
          <w:sz w:val="24"/>
          <w:szCs w:val="24"/>
        </w:rPr>
        <w:t>Санкт-Петербургский национальный минерально-сырьевой университет «Горный»</w:t>
      </w:r>
      <w:r w:rsidR="00326667">
        <w:rPr>
          <w:rFonts w:ascii="Times New Roman" w:hAnsi="Times New Roman" w:cs="Times New Roman"/>
          <w:sz w:val="24"/>
          <w:szCs w:val="24"/>
        </w:rPr>
        <w:t xml:space="preserve">, </w:t>
      </w:r>
      <w:r w:rsidR="00326667" w:rsidRPr="00326667">
        <w:rPr>
          <w:rFonts w:ascii="Times New Roman" w:hAnsi="Times New Roman" w:cs="Times New Roman"/>
          <w:sz w:val="24"/>
          <w:szCs w:val="24"/>
        </w:rPr>
        <w:t xml:space="preserve">sedok@mail.ru </w:t>
      </w:r>
    </w:p>
    <w:p w:rsidR="008D4C76" w:rsidRPr="008D4C76" w:rsidRDefault="008D4C76" w:rsidP="008D4C76">
      <w:pPr>
        <w:pStyle w:val="6"/>
      </w:pPr>
    </w:p>
    <w:p w:rsidR="00EB7B43" w:rsidRDefault="00EB7B43" w:rsidP="00A47EA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A47EA0" w:rsidRPr="00A47EA0" w:rsidRDefault="004A7192" w:rsidP="00A47EA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АЛЬТЕРНАТИВНАЯ НЕДЕНЕЖНАЯ ЛИКВИДНОСТЬ (АНЛ)</w:t>
      </w:r>
      <w:r w:rsidR="00445C27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МЕХАНИЗМЫ ЭМИССИИ И ОБРАЩЕНИЯ</w:t>
      </w:r>
    </w:p>
    <w:p w:rsidR="00DF6AE2" w:rsidRPr="008D4C76" w:rsidRDefault="00DF6AE2" w:rsidP="008D4C76">
      <w:pPr>
        <w:pStyle w:val="6"/>
      </w:pPr>
    </w:p>
    <w:p w:rsidR="00DA7DC6" w:rsidRDefault="00DA7DC6" w:rsidP="008D4C76">
      <w:pPr>
        <w:pStyle w:val="0"/>
        <w:rPr>
          <w:b/>
          <w:highlight w:val="yellow"/>
        </w:rPr>
      </w:pPr>
    </w:p>
    <w:p w:rsidR="00A704CE" w:rsidRDefault="004A7192" w:rsidP="00615B1D">
      <w:pPr>
        <w:pStyle w:val="0"/>
        <w:rPr>
          <w:b/>
        </w:rPr>
      </w:pPr>
      <w:r w:rsidRPr="004A7192">
        <w:rPr>
          <w:b/>
        </w:rPr>
        <w:t>Введение</w:t>
      </w:r>
    </w:p>
    <w:p w:rsidR="004A7192" w:rsidRPr="004A7192" w:rsidRDefault="004A7192" w:rsidP="00615B1D">
      <w:pPr>
        <w:pStyle w:val="0"/>
        <w:rPr>
          <w:b/>
        </w:rPr>
      </w:pPr>
    </w:p>
    <w:p w:rsidR="004A7192" w:rsidRDefault="004A7192" w:rsidP="00615B1D">
      <w:pPr>
        <w:pStyle w:val="0"/>
      </w:pPr>
      <w:r>
        <w:t>В условиях санкций Россия оказывается отрезанной от широкого потока зарубежного ф</w:t>
      </w:r>
      <w:r w:rsidR="00FE5D1D">
        <w:t>инансирования и рефинансирования</w:t>
      </w:r>
      <w:r>
        <w:t>. Возврат внешнего корпоративного долга по сроку неизбежно приведёт к обнулению всех золотовалютных резервов страны в течение ближайших 2-3 лет. Только в 2015 году предстоит выплатить 65 млрд. руб. внешнего долга. Э</w:t>
      </w:r>
      <w:r w:rsidR="002769D7">
        <w:t>то неотвратимо</w:t>
      </w:r>
      <w:r>
        <w:t xml:space="preserve">: ведь львиная доля внешнего долга приходится на корпорации с госучастием </w:t>
      </w:r>
      <w:r w:rsidRPr="000636D2">
        <w:rPr>
          <w:i/>
        </w:rPr>
        <w:t>(«Роснефть», «ГАЗПРОМ» и т.д.).</w:t>
      </w:r>
      <w:r>
        <w:t xml:space="preserve"> </w:t>
      </w:r>
    </w:p>
    <w:p w:rsidR="002769D7" w:rsidRDefault="004A7192" w:rsidP="00615B1D">
      <w:pPr>
        <w:pStyle w:val="0"/>
      </w:pPr>
      <w:r>
        <w:t>При этом, сохраняется правило вашингтонского консенсуса: новые рубли РФ печатаются только под вновь полученную экспортную выручку. В условиях снижения мировых цен на углеводороды</w:t>
      </w:r>
      <w:r w:rsidR="002769D7">
        <w:t>, Россия сталкивается с неизбежным отрицательным темпом роста денежной базы и денежной массы. Можно также уверенно говорить о том, что инвестиционный потенциал страны просто обнуляется. Нет денег ни на создание новых производственных фондов, ни на реновацию изношенных.</w:t>
      </w:r>
    </w:p>
    <w:p w:rsidR="002769D7" w:rsidRDefault="002769D7" w:rsidP="00615B1D">
      <w:pPr>
        <w:pStyle w:val="0"/>
      </w:pPr>
      <w:r>
        <w:t xml:space="preserve">Было бы естественным приступить к активному печатанию дополнительной рублёвой ликвидности, разорвав с вашингтонским консенсусом. Однако этого не допустит ЦБ РФ, стойко стоящий на страже интересов своих зарубежных хозяев </w:t>
      </w:r>
      <w:r w:rsidRPr="00D57BD9">
        <w:rPr>
          <w:b/>
        </w:rPr>
        <w:t xml:space="preserve">[1]. </w:t>
      </w:r>
      <w:r>
        <w:t>Под видом таргетирования инфляции, ЦБ РФ проводит линию финансового удушения российской экономики. И сейчас это удушение вступило в решающую фазу. Ставится задача лишить Россию будущего, сорвать её стратегическое развитие, с переходом в новую постиндустриальную эпоху.</w:t>
      </w:r>
    </w:p>
    <w:p w:rsidR="004A7192" w:rsidRDefault="002769D7" w:rsidP="00615B1D">
      <w:pPr>
        <w:pStyle w:val="0"/>
      </w:pPr>
      <w:r>
        <w:t xml:space="preserve"> Россия уже проходила урок тотального обезденеживания экономики в 90-е годы прошлого века. На фоне этого дефицита процветали бартер, взаимозачёты, вексельные схемы. Так что </w:t>
      </w:r>
      <w:r w:rsidR="00D57BD9">
        <w:t>опыт борьбы за выживание в условиях тотального безденежья у российских предприятий есть. Кажется, самое время вспомнить лучшие моменты этого опыта и «тряхнуть стариной».</w:t>
      </w:r>
    </w:p>
    <w:p w:rsidR="00D57BD9" w:rsidRDefault="00D57BD9" w:rsidP="00615B1D">
      <w:pPr>
        <w:pStyle w:val="0"/>
      </w:pPr>
      <w:r>
        <w:t>На законодательном уровне есть прямой запрет на эмиссию параллельных валют и денежных суррогатов. Это прописано в ельцинской Конституции, это записано и в законе о ЦБ РФ. Однако существуют вполне законные способы решить финансовые проблемы предприятий, не прибегая к печатанию новых денег. Речь идёт о концепции альтернативной неденежной ликвидности (</w:t>
      </w:r>
      <w:r w:rsidRPr="00D57BD9">
        <w:rPr>
          <w:b/>
        </w:rPr>
        <w:t>АНЛ</w:t>
      </w:r>
      <w:r>
        <w:t xml:space="preserve">), основы которой предлагаются в докладе. Эта концепция впитала в себя мировой опыт борьбы с международной финансовой мафией и с её передовыми отрядами – страновыми центробанками. Как выясняется, можно </w:t>
      </w:r>
      <w:r>
        <w:lastRenderedPageBreak/>
        <w:t xml:space="preserve">создавать финансовую ликвидность, очень похожую на деньги – но не являющуюся деньгами в строгом смысле слова. При этом, такая ликвидность будет </w:t>
      </w:r>
      <w:r w:rsidR="00972BEA">
        <w:t>легитимной, опираясь на действующее законодательство</w:t>
      </w:r>
      <w:proofErr w:type="gramStart"/>
      <w:r w:rsidR="00972BEA">
        <w:t>.</w:t>
      </w:r>
      <w:proofErr w:type="gramEnd"/>
      <w:r>
        <w:t xml:space="preserve"> В её основе </w:t>
      </w:r>
      <w:r w:rsidR="00972BEA">
        <w:t>лежат</w:t>
      </w:r>
      <w:r>
        <w:t xml:space="preserve"> новеллы Гражданского кодекса РФ, а также нормы вексельного законодательства в РФ.</w:t>
      </w:r>
    </w:p>
    <w:p w:rsidR="00D57BD9" w:rsidRDefault="00D57BD9" w:rsidP="00615B1D">
      <w:pPr>
        <w:pStyle w:val="0"/>
      </w:pPr>
      <w:r>
        <w:t>Схематично концепция АНЛ представлена на рис. 1.</w:t>
      </w:r>
    </w:p>
    <w:p w:rsidR="00D57BD9" w:rsidRDefault="00D57BD9" w:rsidP="00615B1D">
      <w:pPr>
        <w:pStyle w:val="0"/>
      </w:pPr>
    </w:p>
    <w:p w:rsidR="00D57BD9" w:rsidRDefault="00D57BD9" w:rsidP="00615B1D">
      <w:pPr>
        <w:pStyle w:val="0"/>
      </w:pPr>
      <w:r>
        <w:object w:dxaOrig="12504" w:dyaOrig="14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25pt;height:524.65pt" o:ole="">
            <v:imagedata r:id="rId9" o:title=""/>
          </v:shape>
          <o:OLEObject Type="Embed" ProgID="Visio.Drawing.11" ShapeID="_x0000_i1025" DrawAspect="Content" ObjectID="_1488024466" r:id="rId10"/>
        </w:object>
      </w:r>
    </w:p>
    <w:p w:rsidR="004A7192" w:rsidRPr="00A704CE" w:rsidRDefault="004A7192" w:rsidP="00615B1D">
      <w:pPr>
        <w:pStyle w:val="0"/>
      </w:pPr>
    </w:p>
    <w:p w:rsidR="00E446F0" w:rsidRPr="00BE41AD" w:rsidRDefault="00D57BD9" w:rsidP="00615B1D">
      <w:pPr>
        <w:pStyle w:val="0"/>
        <w:rPr>
          <w:b/>
        </w:rPr>
      </w:pPr>
      <w:r w:rsidRPr="00BE41AD">
        <w:rPr>
          <w:b/>
        </w:rPr>
        <w:t>Рис. 1. Концепция альтернативной неденежной ликвидности (АНЛ)</w:t>
      </w:r>
    </w:p>
    <w:p w:rsidR="00D57BD9" w:rsidRDefault="00D57BD9" w:rsidP="00615B1D">
      <w:pPr>
        <w:pStyle w:val="0"/>
      </w:pPr>
    </w:p>
    <w:p w:rsidR="00D57BD9" w:rsidRDefault="00D57BD9" w:rsidP="00615B1D">
      <w:pPr>
        <w:pStyle w:val="0"/>
      </w:pPr>
      <w:r>
        <w:t>Рассмотрим положения концепции АНЛ по порядку.</w:t>
      </w:r>
    </w:p>
    <w:p w:rsidR="00D57BD9" w:rsidRDefault="00D57BD9" w:rsidP="00615B1D">
      <w:pPr>
        <w:pStyle w:val="0"/>
      </w:pPr>
    </w:p>
    <w:p w:rsidR="00D57BD9" w:rsidRPr="00D57BD9" w:rsidRDefault="00D57BD9" w:rsidP="00D57BD9">
      <w:pPr>
        <w:pStyle w:val="0"/>
        <w:numPr>
          <w:ilvl w:val="0"/>
          <w:numId w:val="10"/>
        </w:numPr>
        <w:rPr>
          <w:b/>
        </w:rPr>
      </w:pPr>
      <w:r w:rsidRPr="00D57BD9">
        <w:rPr>
          <w:b/>
        </w:rPr>
        <w:lastRenderedPageBreak/>
        <w:t>Инвестиционный рубль</w:t>
      </w:r>
    </w:p>
    <w:p w:rsidR="00D57BD9" w:rsidRDefault="00D57BD9" w:rsidP="00615B1D">
      <w:pPr>
        <w:pStyle w:val="0"/>
      </w:pPr>
    </w:p>
    <w:p w:rsidR="00D57BD9" w:rsidRDefault="00D57BD9" w:rsidP="00615B1D">
      <w:pPr>
        <w:pStyle w:val="0"/>
      </w:pPr>
      <w:r>
        <w:t xml:space="preserve">Мировой опыт показывает, что инвестиционная и операционная деятельность предприятий проходит в обособленных контурах, характеризующихся различным уровнем оборачиваемости вновь создаваемых, приобретаемых и реализуемых активов. Производственные фонды – это внеоборотные активы, требующие иммобилизации существенного </w:t>
      </w:r>
      <w:r w:rsidR="00A507E0">
        <w:t xml:space="preserve">объёма </w:t>
      </w:r>
      <w:r>
        <w:t xml:space="preserve">финансового капитала на длительный срок. Формула Ирвинга Фишера не учитывает потребность в иммобилизационном финансовом капитале </w:t>
      </w:r>
      <w:r w:rsidRPr="00BE41AD">
        <w:rPr>
          <w:b/>
        </w:rPr>
        <w:t>[2].</w:t>
      </w:r>
      <w:r w:rsidRPr="00D57BD9">
        <w:t xml:space="preserve"> </w:t>
      </w:r>
      <w:r>
        <w:t>Поэтому встаёт вопрос о создании дополнительной ликвидности под инвестиционные цели</w:t>
      </w:r>
      <w:r w:rsidR="00BE41AD">
        <w:t xml:space="preserve">, под создание и оборот инвестиционных товаров. В моих работах такая ликвидность называется </w:t>
      </w:r>
      <w:r w:rsidR="00BE41AD" w:rsidRPr="00BE41AD">
        <w:rPr>
          <w:b/>
        </w:rPr>
        <w:t>инвестиционным рублём</w:t>
      </w:r>
      <w:r w:rsidR="00BE41AD">
        <w:rPr>
          <w:b/>
        </w:rPr>
        <w:t xml:space="preserve"> (ИР)</w:t>
      </w:r>
      <w:r w:rsidR="00BE41AD">
        <w:t xml:space="preserve">. Основное назначение ИР – обслуживать промежуточный инвестиционный спрос и не давить при этом на конечное товарное потребление, с неизбежным разгоном инфляции. Из межотраслевого баланса РФ хорошо видно, что свыше 60% текущей рублёвой ликвидности застревает в контурах </w:t>
      </w:r>
      <w:r w:rsidR="00972BEA">
        <w:t>взаимного</w:t>
      </w:r>
      <w:r w:rsidR="00BE41AD">
        <w:t xml:space="preserve"> промежуточного спроса отраслей. Соответственно, эта классическая рублёвая ликвидность превосходно может быть замещена ИР, а высвобожденные наличные рубли могут быть перенаправлены в проекты  инновационного характера, где основную долю затрат составляет заработная плата специалистов</w:t>
      </w:r>
      <w:r w:rsidR="00972BEA">
        <w:t xml:space="preserve"> (например, в </w:t>
      </w:r>
      <w:r w:rsidR="00972BEA">
        <w:rPr>
          <w:lang w:val="en-US"/>
        </w:rPr>
        <w:t>IT</w:t>
      </w:r>
      <w:r w:rsidR="00972BEA" w:rsidRPr="00972BEA">
        <w:t>-</w:t>
      </w:r>
      <w:r w:rsidR="00972BEA">
        <w:t>проекты)</w:t>
      </w:r>
      <w:r w:rsidR="00BE41AD">
        <w:t>.</w:t>
      </w:r>
    </w:p>
    <w:p w:rsidR="00300931" w:rsidRDefault="00300931" w:rsidP="00615B1D">
      <w:pPr>
        <w:pStyle w:val="0"/>
      </w:pPr>
      <w:r>
        <w:t>АНЛ – это и есть ИР, до тех пор, пока ЦБ РФ не пройдёт национализацию, и у государства Российского не будут развязаны руки, с точки зрения возможности создания параллельных валют. У СССР, с его двухконтурной системой «безнал – нал», такой опыт был, и он успешно работал.</w:t>
      </w:r>
    </w:p>
    <w:p w:rsidR="00300931" w:rsidRDefault="00300931" w:rsidP="00615B1D">
      <w:pPr>
        <w:pStyle w:val="0"/>
      </w:pPr>
    </w:p>
    <w:p w:rsidR="00300931" w:rsidRPr="00300931" w:rsidRDefault="00300931" w:rsidP="00300931">
      <w:pPr>
        <w:pStyle w:val="0"/>
        <w:numPr>
          <w:ilvl w:val="0"/>
          <w:numId w:val="10"/>
        </w:numPr>
        <w:rPr>
          <w:b/>
        </w:rPr>
      </w:pPr>
      <w:r w:rsidRPr="00300931">
        <w:rPr>
          <w:b/>
        </w:rPr>
        <w:t>Структурирование обеспечителей</w:t>
      </w:r>
    </w:p>
    <w:p w:rsidR="00300931" w:rsidRDefault="00300931" w:rsidP="00300931">
      <w:pPr>
        <w:pStyle w:val="0"/>
      </w:pPr>
    </w:p>
    <w:p w:rsidR="00300931" w:rsidRDefault="00300931" w:rsidP="00300931">
      <w:pPr>
        <w:pStyle w:val="0"/>
      </w:pPr>
      <w:r>
        <w:t xml:space="preserve">Современные мировые валюты – это </w:t>
      </w:r>
      <w:r w:rsidRPr="00300931">
        <w:rPr>
          <w:b/>
        </w:rPr>
        <w:t>фиат,</w:t>
      </w:r>
      <w:r>
        <w:t xml:space="preserve"> они обеспечены только опциональной волей властей страны поддерживать свою валюту на </w:t>
      </w:r>
      <w:r>
        <w:br/>
        <w:t xml:space="preserve">платёжно-приемлемом уровне. Сегодня мировая финансовая система находится в условиях кризиса доверия к фиату; системы согласованных эмиссий мировых валют начинают рассыпаться </w:t>
      </w:r>
      <w:r w:rsidRPr="000636D2">
        <w:rPr>
          <w:i/>
        </w:rPr>
        <w:t>(пример – швейцарский франк</w:t>
      </w:r>
      <w:r w:rsidR="000636D2">
        <w:rPr>
          <w:i/>
        </w:rPr>
        <w:t xml:space="preserve"> </w:t>
      </w:r>
      <w:r w:rsidR="000636D2" w:rsidRPr="000636D2">
        <w:rPr>
          <w:b/>
          <w:i/>
        </w:rPr>
        <w:t>[3]</w:t>
      </w:r>
      <w:r w:rsidRPr="000636D2">
        <w:rPr>
          <w:i/>
        </w:rPr>
        <w:t xml:space="preserve">). </w:t>
      </w:r>
      <w:r>
        <w:t>Не может быть и речи о возврате к золотому паритету</w:t>
      </w:r>
      <w:r w:rsidR="00972BEA">
        <w:t xml:space="preserve">; международная экономика </w:t>
      </w:r>
      <w:r w:rsidR="000636D2">
        <w:t xml:space="preserve">давно вышла за пределы возможности золота покрывать её финансовые обороты. Однако с повестки дня не снимается вопрос поиска и </w:t>
      </w:r>
      <w:proofErr w:type="gramStart"/>
      <w:r w:rsidR="000636D2">
        <w:t>структурирования</w:t>
      </w:r>
      <w:proofErr w:type="gramEnd"/>
      <w:r w:rsidR="000636D2">
        <w:t xml:space="preserve"> альтернативных обеспечителей (нефть, электроэнергия, имущественные активы). </w:t>
      </w:r>
      <w:r w:rsidR="0071288D">
        <w:t xml:space="preserve">В 1923 году Германия, задыхающаяся в путах гиперинфляции, создала альтернативный золоту обеспечитель – имущественный пул, сформированный как 6% от частных имущественных активов. В результате, на свет появилась твёрдая рентная марка, и инфляция была прекращена. Сегодня даже биткойн </w:t>
      </w:r>
      <w:proofErr w:type="gramStart"/>
      <w:r w:rsidR="0071288D">
        <w:t>обеспечен</w:t>
      </w:r>
      <w:proofErr w:type="gramEnd"/>
      <w:r w:rsidR="0071288D">
        <w:t xml:space="preserve"> – ограниченностью масштабов своей эмиссии; и именно это позволяет ему обращаться на территории США одновременно с долларом, причём уже совершенно легитимно с законодательной точки зрения </w:t>
      </w:r>
      <w:r w:rsidR="0071288D" w:rsidRPr="0071288D">
        <w:rPr>
          <w:b/>
        </w:rPr>
        <w:t>[4]</w:t>
      </w:r>
      <w:r w:rsidR="0071288D" w:rsidRPr="0071288D">
        <w:t>.</w:t>
      </w:r>
    </w:p>
    <w:p w:rsidR="00BD0C7A" w:rsidRDefault="00BD0C7A" w:rsidP="00300931">
      <w:pPr>
        <w:pStyle w:val="0"/>
      </w:pPr>
      <w:r>
        <w:lastRenderedPageBreak/>
        <w:t xml:space="preserve">В предлагаемой концепции АНЛ </w:t>
      </w:r>
      <w:r w:rsidRPr="007D539C">
        <w:rPr>
          <w:i/>
        </w:rPr>
        <w:t>(рис. 1)</w:t>
      </w:r>
      <w:r>
        <w:t xml:space="preserve"> обеспечители вполне традиционны – имущество и земля. Залогодатели наполняют свободными от залога активами имущественный </w:t>
      </w:r>
      <w:r w:rsidRPr="00972BEA">
        <w:rPr>
          <w:b/>
        </w:rPr>
        <w:t>залоговый фонд</w:t>
      </w:r>
      <w:r>
        <w:t xml:space="preserve"> </w:t>
      </w:r>
      <w:r w:rsidRPr="007D539C">
        <w:rPr>
          <w:i/>
        </w:rPr>
        <w:t xml:space="preserve">(шаг 1). </w:t>
      </w:r>
      <w:r>
        <w:t xml:space="preserve">После того, как формирование первичного пула активов завершено, фонд выпускает векселя с имущественным покрытием </w:t>
      </w:r>
      <w:r w:rsidRPr="007D539C">
        <w:rPr>
          <w:i/>
        </w:rPr>
        <w:t>(шаг 2).</w:t>
      </w:r>
      <w:r>
        <w:t xml:space="preserve"> Тем самым, консолидированное имущество проходит </w:t>
      </w:r>
      <w:proofErr w:type="gramStart"/>
      <w:r>
        <w:t>первичную</w:t>
      </w:r>
      <w:proofErr w:type="gramEnd"/>
      <w:r>
        <w:t xml:space="preserve"> секьюритизацию.</w:t>
      </w:r>
    </w:p>
    <w:p w:rsidR="00BD0C7A" w:rsidRDefault="00BD0C7A" w:rsidP="00300931">
      <w:pPr>
        <w:pStyle w:val="0"/>
      </w:pPr>
    </w:p>
    <w:p w:rsidR="00BD0C7A" w:rsidRPr="007D539C" w:rsidRDefault="00BD0C7A" w:rsidP="007D539C">
      <w:pPr>
        <w:pStyle w:val="0"/>
        <w:numPr>
          <w:ilvl w:val="0"/>
          <w:numId w:val="10"/>
        </w:numPr>
        <w:rPr>
          <w:b/>
        </w:rPr>
      </w:pPr>
      <w:r w:rsidRPr="007D539C">
        <w:rPr>
          <w:b/>
        </w:rPr>
        <w:t>Вторичная секьюритизация обеспечителей. Электронные долговые расписки (ЭДР)</w:t>
      </w:r>
    </w:p>
    <w:p w:rsidR="00BD0C7A" w:rsidRDefault="00BD0C7A" w:rsidP="00300931">
      <w:pPr>
        <w:pStyle w:val="0"/>
      </w:pPr>
    </w:p>
    <w:p w:rsidR="00BD0C7A" w:rsidRDefault="00BD0C7A" w:rsidP="00300931">
      <w:pPr>
        <w:pStyle w:val="0"/>
      </w:pPr>
      <w:r>
        <w:t xml:space="preserve"> </w:t>
      </w:r>
      <w:r w:rsidR="007D539C">
        <w:t xml:space="preserve">Вексель – весьма хорошо законодательно обеспеченный инструмент. Однако, с позиций современного делового оборота, он представляет </w:t>
      </w:r>
      <w:r w:rsidR="00300502">
        <w:t xml:space="preserve">собой </w:t>
      </w:r>
      <w:r w:rsidR="007D539C">
        <w:t xml:space="preserve">абсолютную архаику. Эта архаика вытекает из законодательного требования </w:t>
      </w:r>
      <w:r w:rsidR="007D539C" w:rsidRPr="007D539C">
        <w:rPr>
          <w:b/>
        </w:rPr>
        <w:t>бумажности</w:t>
      </w:r>
      <w:r w:rsidR="007D539C">
        <w:t xml:space="preserve"> векселя. </w:t>
      </w:r>
      <w:r w:rsidR="00300502">
        <w:t>Там</w:t>
      </w:r>
      <w:r w:rsidR="00972BEA">
        <w:t>,</w:t>
      </w:r>
      <w:r w:rsidR="00300502">
        <w:t xml:space="preserve"> где оплата товара или выдача авансов требует минут </w:t>
      </w:r>
      <w:r w:rsidR="00300502">
        <w:rPr>
          <w:i/>
        </w:rPr>
        <w:t>(по условия</w:t>
      </w:r>
      <w:r w:rsidR="00300502" w:rsidRPr="00300502">
        <w:rPr>
          <w:i/>
        </w:rPr>
        <w:t>м современного хозяйственного оборота),</w:t>
      </w:r>
      <w:r w:rsidR="00300502">
        <w:t xml:space="preserve"> операция с векселем занимает часы</w:t>
      </w:r>
      <w:r w:rsidR="00972BEA">
        <w:t xml:space="preserve"> и вызывает серьёзные транзакционные издержки</w:t>
      </w:r>
      <w:r w:rsidR="00300502">
        <w:t xml:space="preserve">. </w:t>
      </w:r>
      <w:r w:rsidR="007D539C">
        <w:t xml:space="preserve">Поэтому не может быть и речи об организации АНЛ на векселях. Можно говорить о том, что вексель представляет собой идеальную залоговую базу для банков и финансовых компаний, при полном исключении его из оборота, с принятием </w:t>
      </w:r>
      <w:r w:rsidR="00972BEA">
        <w:t xml:space="preserve">его </w:t>
      </w:r>
      <w:r w:rsidR="007D539C">
        <w:t>на деп</w:t>
      </w:r>
      <w:r w:rsidR="00300502">
        <w:t>озитарное ответственное хранение</w:t>
      </w:r>
      <w:r w:rsidR="007D539C">
        <w:t>.</w:t>
      </w:r>
    </w:p>
    <w:p w:rsidR="007D539C" w:rsidRDefault="007D539C" w:rsidP="00300931">
      <w:pPr>
        <w:pStyle w:val="0"/>
      </w:pPr>
      <w:r>
        <w:t xml:space="preserve">Здесь возникает второе основание схемы АНЛ – </w:t>
      </w:r>
      <w:r w:rsidRPr="00972BEA">
        <w:rPr>
          <w:b/>
        </w:rPr>
        <w:t>финансовая компания</w:t>
      </w:r>
      <w:r>
        <w:t xml:space="preserve">, обладающая свойствами инвестиционного института </w:t>
      </w:r>
      <w:r w:rsidRPr="00300502">
        <w:rPr>
          <w:i/>
        </w:rPr>
        <w:t xml:space="preserve">(брокерская компания, инвестиционная компания), </w:t>
      </w:r>
      <w:r>
        <w:t xml:space="preserve">с получением соответствующих лицензий. Это компания должна быть функционально способна брать банковские кредиты, выдавать залоги, принимать средства в доверительное управление и выпускать собственные займы в форме электронных долговых расписок </w:t>
      </w:r>
      <w:r w:rsidRPr="00300502">
        <w:rPr>
          <w:i/>
        </w:rPr>
        <w:t>(</w:t>
      </w:r>
      <w:r w:rsidRPr="00300502">
        <w:rPr>
          <w:b/>
          <w:i/>
        </w:rPr>
        <w:t>ЭДР</w:t>
      </w:r>
      <w:r w:rsidRPr="00300502">
        <w:rPr>
          <w:i/>
        </w:rPr>
        <w:t>).</w:t>
      </w:r>
      <w:r>
        <w:t xml:space="preserve"> </w:t>
      </w:r>
      <w:r w:rsidR="00132D1E">
        <w:t xml:space="preserve">Законодательное основание для выпуска безбумажных ЭДР – главы 25 и </w:t>
      </w:r>
      <w:r w:rsidR="00132D1E">
        <w:br/>
        <w:t xml:space="preserve">42 ГК РФ. </w:t>
      </w:r>
      <w:r>
        <w:t xml:space="preserve">Объём ЭДР </w:t>
      </w:r>
      <w:r w:rsidR="00300502">
        <w:t>не превышает объёма</w:t>
      </w:r>
      <w:r>
        <w:t xml:space="preserve"> эмиссии векселей,  принятых</w:t>
      </w:r>
      <w:r w:rsidR="00300502">
        <w:t xml:space="preserve"> на ответственное хранение финансовой компанией, все ЭДР пронумерованы и логически связаны с векселями, под которые они выпущены.</w:t>
      </w:r>
    </w:p>
    <w:p w:rsidR="00300502" w:rsidRDefault="00300502" w:rsidP="00300931">
      <w:pPr>
        <w:pStyle w:val="0"/>
      </w:pPr>
      <w:r>
        <w:t xml:space="preserve">Фактически ЭДР – это АНЛ и вторая волна секьюритизации </w:t>
      </w:r>
      <w:proofErr w:type="gramStart"/>
      <w:r>
        <w:t>имущественных</w:t>
      </w:r>
      <w:proofErr w:type="gramEnd"/>
      <w:r>
        <w:t xml:space="preserve"> обеспечителей. Дальше ЭДР продвигается по двум каналам:</w:t>
      </w:r>
    </w:p>
    <w:p w:rsidR="00300502" w:rsidRDefault="00300502" w:rsidP="00300502">
      <w:pPr>
        <w:pStyle w:val="0"/>
        <w:numPr>
          <w:ilvl w:val="0"/>
          <w:numId w:val="11"/>
        </w:numPr>
      </w:pPr>
      <w:r>
        <w:t xml:space="preserve">приём банковского кредита поз залог векселя </w:t>
      </w:r>
      <w:r w:rsidRPr="001C549D">
        <w:rPr>
          <w:i/>
        </w:rPr>
        <w:t>(рис. 1, шаг 3);</w:t>
      </w:r>
    </w:p>
    <w:p w:rsidR="00300502" w:rsidRDefault="00300502" w:rsidP="00300502">
      <w:pPr>
        <w:pStyle w:val="0"/>
        <w:numPr>
          <w:ilvl w:val="0"/>
          <w:numId w:val="11"/>
        </w:numPr>
      </w:pPr>
      <w:r>
        <w:t xml:space="preserve">инжекция ЭДР на балансы организаций, подписавших с финансовой компанией соглашение о стратегическом партнёрстве в заранее оговорённых форматах </w:t>
      </w:r>
      <w:r w:rsidRPr="001C549D">
        <w:rPr>
          <w:i/>
        </w:rPr>
        <w:t>(рис 1, шаг 4).</w:t>
      </w:r>
    </w:p>
    <w:p w:rsidR="00132D1E" w:rsidRDefault="00132D1E" w:rsidP="00132D1E">
      <w:pPr>
        <w:pStyle w:val="0"/>
      </w:pPr>
      <w:r>
        <w:t xml:space="preserve">Фактически, финансовая компания проливает балансы предприятий дополнительной неденежной ликвидностью, которая увеличивает валюту баланса предприятия. В пассивах предприятий АНЛ прослеживается как </w:t>
      </w:r>
      <w:proofErr w:type="gramStart"/>
      <w:r>
        <w:t>финансовый</w:t>
      </w:r>
      <w:proofErr w:type="gramEnd"/>
      <w:r>
        <w:t xml:space="preserve"> займ, выданный ЭДР. В активах – как краткосрочные финансовые вложения.</w:t>
      </w:r>
    </w:p>
    <w:p w:rsidR="00132D1E" w:rsidRDefault="00132D1E" w:rsidP="00132D1E">
      <w:pPr>
        <w:pStyle w:val="0"/>
      </w:pPr>
      <w:r>
        <w:t>Оборот ЭДР специфичен и преследует одну цель</w:t>
      </w:r>
      <w:r w:rsidR="001C549D">
        <w:t xml:space="preserve"> </w:t>
      </w:r>
      <w:r w:rsidR="001C549D" w:rsidRPr="001C549D">
        <w:rPr>
          <w:i/>
        </w:rPr>
        <w:t>(рис. 1, шаг 6)</w:t>
      </w:r>
      <w:r>
        <w:t xml:space="preserve"> – поддержка обращения промежуточных товаров инвестиционного спроса </w:t>
      </w:r>
      <w:r w:rsidRPr="001C549D">
        <w:rPr>
          <w:i/>
        </w:rPr>
        <w:t xml:space="preserve">(имущественные комплексы, земля, </w:t>
      </w:r>
      <w:r w:rsidR="001C549D">
        <w:rPr>
          <w:i/>
        </w:rPr>
        <w:t xml:space="preserve">природное сырьё, </w:t>
      </w:r>
      <w:r w:rsidRPr="001C549D">
        <w:rPr>
          <w:i/>
        </w:rPr>
        <w:t>электричество, строительные материалы, продукты нефтепереработки</w:t>
      </w:r>
      <w:r w:rsidR="001C549D">
        <w:rPr>
          <w:i/>
        </w:rPr>
        <w:t xml:space="preserve">, товары </w:t>
      </w:r>
      <w:r w:rsidR="001C549D">
        <w:rPr>
          <w:i/>
        </w:rPr>
        <w:lastRenderedPageBreak/>
        <w:t>машиностроения</w:t>
      </w:r>
      <w:r w:rsidRPr="001C549D">
        <w:rPr>
          <w:i/>
        </w:rPr>
        <w:t>).</w:t>
      </w:r>
      <w:r>
        <w:t xml:space="preserve"> Направления движения ЭДР и ограничения в обращении этих расписок оговариваются стратегическим соглашением всех сторон, вовлечённых в оборот ЭДР. С помощью ЭДР нельзя финансировать выплату заработной платы и налогов. Также оговаривается, что все участники соглашения</w:t>
      </w:r>
      <w:r w:rsidR="001C549D">
        <w:t xml:space="preserve"> о партнёрстве заранее одобряют перемену сторон в ЭДР, т.е. делают оборот ЭДР ликвидным.</w:t>
      </w:r>
    </w:p>
    <w:p w:rsidR="0071531F" w:rsidRDefault="0071531F" w:rsidP="00132D1E">
      <w:pPr>
        <w:pStyle w:val="0"/>
      </w:pPr>
      <w:r>
        <w:t xml:space="preserve">Совершенно очевидно, что пролив балансов предприятий ЭДР должен совершаться не по произволу, а на основе хорошо аудированных планов стратегического развития компаний, принимающих ЭДР в качестве инвестиционного ресурса. Потому что срок инвестирования предполагается большим – до 10 лет, а рентный процент – низким </w:t>
      </w:r>
      <w:r w:rsidRPr="00BC6799">
        <w:rPr>
          <w:i/>
        </w:rPr>
        <w:t>(до 3% годовых),</w:t>
      </w:r>
      <w:r>
        <w:t xml:space="preserve"> причём уплата процента совершается на базисе 1 раз в год, а </w:t>
      </w:r>
      <w:r w:rsidR="003909A9">
        <w:t>тело займа не гасится в течение всех 10 лет оборота ЭДР.</w:t>
      </w:r>
    </w:p>
    <w:p w:rsidR="003909A9" w:rsidRDefault="003909A9" w:rsidP="00132D1E">
      <w:pPr>
        <w:pStyle w:val="0"/>
      </w:pPr>
    </w:p>
    <w:p w:rsidR="003909A9" w:rsidRPr="003909A9" w:rsidRDefault="003909A9" w:rsidP="003909A9">
      <w:pPr>
        <w:pStyle w:val="0"/>
        <w:numPr>
          <w:ilvl w:val="0"/>
          <w:numId w:val="10"/>
        </w:numPr>
        <w:rPr>
          <w:b/>
        </w:rPr>
      </w:pPr>
      <w:r w:rsidRPr="003909A9">
        <w:rPr>
          <w:b/>
        </w:rPr>
        <w:t>Принцип займового конвертера</w:t>
      </w:r>
    </w:p>
    <w:p w:rsidR="003909A9" w:rsidRDefault="003909A9" w:rsidP="00132D1E">
      <w:pPr>
        <w:pStyle w:val="0"/>
      </w:pPr>
    </w:p>
    <w:p w:rsidR="00BC6799" w:rsidRDefault="00BC6799" w:rsidP="00132D1E">
      <w:pPr>
        <w:pStyle w:val="0"/>
      </w:pPr>
      <w:r>
        <w:t>Понятно</w:t>
      </w:r>
      <w:r w:rsidR="003909A9">
        <w:t xml:space="preserve">, что </w:t>
      </w:r>
      <w:r>
        <w:t>реализация схемы</w:t>
      </w:r>
      <w:r w:rsidR="003909A9">
        <w:t xml:space="preserve"> АНЛ</w:t>
      </w:r>
      <w:r>
        <w:t xml:space="preserve"> сопряжена с издержками и вливаниями традиционных рублей по следующим направлениям:</w:t>
      </w:r>
    </w:p>
    <w:p w:rsidR="003909A9" w:rsidRPr="00A507E0" w:rsidRDefault="00BC6799" w:rsidP="00BC6799">
      <w:pPr>
        <w:pStyle w:val="0"/>
        <w:numPr>
          <w:ilvl w:val="0"/>
          <w:numId w:val="12"/>
        </w:numPr>
        <w:rPr>
          <w:i/>
        </w:rPr>
      </w:pPr>
      <w:r>
        <w:t xml:space="preserve">уплата ренты залогодателям </w:t>
      </w:r>
      <w:r w:rsidRPr="00A507E0">
        <w:rPr>
          <w:i/>
        </w:rPr>
        <w:t>(не ниже 5% годовых</w:t>
      </w:r>
      <w:r w:rsidR="00A507E0">
        <w:rPr>
          <w:i/>
        </w:rPr>
        <w:t xml:space="preserve"> на объём залога с учётом кредитного дисконта</w:t>
      </w:r>
      <w:r w:rsidRPr="00A507E0">
        <w:rPr>
          <w:i/>
        </w:rPr>
        <w:t>);</w:t>
      </w:r>
    </w:p>
    <w:p w:rsidR="00BC6799" w:rsidRDefault="00BC6799" w:rsidP="00BC6799">
      <w:pPr>
        <w:pStyle w:val="0"/>
        <w:numPr>
          <w:ilvl w:val="0"/>
          <w:numId w:val="12"/>
        </w:numPr>
      </w:pPr>
      <w:r>
        <w:t>содержание инфраструктуры залогового фонда и финансовой компании;</w:t>
      </w:r>
    </w:p>
    <w:p w:rsidR="00BC6799" w:rsidRDefault="00BC6799" w:rsidP="00BC6799">
      <w:pPr>
        <w:pStyle w:val="0"/>
        <w:numPr>
          <w:ilvl w:val="0"/>
          <w:numId w:val="12"/>
        </w:numPr>
      </w:pPr>
      <w:r>
        <w:t>реализация поддерживающего традиционного финансирования, для выплат налогов и зарплат сотрудникам инвестиционных проектов на стороне предприятий;</w:t>
      </w:r>
    </w:p>
    <w:p w:rsidR="00BC6799" w:rsidRPr="00D57BD9" w:rsidRDefault="00BC6799" w:rsidP="00BC6799">
      <w:pPr>
        <w:pStyle w:val="0"/>
        <w:numPr>
          <w:ilvl w:val="0"/>
          <w:numId w:val="12"/>
        </w:numPr>
      </w:pPr>
      <w:r>
        <w:t xml:space="preserve">поддержание ликвидности ЭДР в пределах согласованного спроса на наличные рубли </w:t>
      </w:r>
      <w:r w:rsidRPr="00BC6799">
        <w:rPr>
          <w:i/>
        </w:rPr>
        <w:t xml:space="preserve">(рис. </w:t>
      </w:r>
      <w:r w:rsidRPr="00BC6799">
        <w:rPr>
          <w:i/>
        </w:rPr>
        <w:t>1, шаг 7)</w:t>
      </w:r>
      <w:r w:rsidR="00A507E0">
        <w:t>, с использованием принципа двусторонней котировки ЭДР.</w:t>
      </w:r>
    </w:p>
    <w:p w:rsidR="00D57BD9" w:rsidRDefault="00BC6799" w:rsidP="00615B1D">
      <w:pPr>
        <w:pStyle w:val="0"/>
      </w:pPr>
      <w:r>
        <w:t>Соответственно, в структуре совокупного оборота финансовой компании 75% будут составлять ЭДР, а 25% - традиционные рубли. В этой же пропорции будут структурированы векселя; до 30% их пойдёт в залог под банковский кредит.</w:t>
      </w:r>
    </w:p>
    <w:p w:rsidR="00BC6799" w:rsidRDefault="00BC6799" w:rsidP="00615B1D">
      <w:pPr>
        <w:pStyle w:val="0"/>
      </w:pPr>
      <w:r>
        <w:t xml:space="preserve">Есть существенное противоречие между традиционно существующими схемами создания рублёвой ликвидности и схемой АНЛ. Традиционная ликвидность – это кредит европейского типа: короткий срок, высокий процент, ежемесячный аннуитет, залог. </w:t>
      </w:r>
      <w:r w:rsidR="00A507E0">
        <w:t>АНЛ – это длительный срок займа, низкий процент, годовой аннуитет без погашения тела, беззалоговые заимствования. Чудес не бывает, и необходимо понимать, как в условиях кабального кредита может раскрыться схема АНЛ, все условия по которой вступают в противоречие с ростовщическим меняльским способом выкруживать деньги из заёмщика.</w:t>
      </w:r>
    </w:p>
    <w:p w:rsidR="00A507E0" w:rsidRDefault="00A507E0" w:rsidP="00615B1D">
      <w:pPr>
        <w:pStyle w:val="0"/>
      </w:pPr>
      <w:r>
        <w:t xml:space="preserve">Значит, в схеме АНЛ возникает звено, которое конвертирует традиционные займы в АНЛ и берёт на себя все издержки, связанные с инфраструктурой. Это звено должно обладать высокой доходностью финансовых операций. Такая доходность сегодня, помимо оборота оружия и </w:t>
      </w:r>
      <w:r>
        <w:lastRenderedPageBreak/>
        <w:t xml:space="preserve">наркотиков, </w:t>
      </w:r>
      <w:r w:rsidR="00972BEA">
        <w:t>бытует</w:t>
      </w:r>
      <w:r>
        <w:t xml:space="preserve"> только на рынке производных финансовых инструментов. </w:t>
      </w:r>
      <w:r w:rsidR="00001CE1">
        <w:t xml:space="preserve">И существуют схемы торговли, основанные на применении торговых роботов </w:t>
      </w:r>
      <w:r w:rsidR="00001CE1" w:rsidRPr="00001CE1">
        <w:rPr>
          <w:i/>
        </w:rPr>
        <w:t xml:space="preserve">(алготрейдинг), </w:t>
      </w:r>
      <w:r w:rsidR="00001CE1">
        <w:t>позволяющие без особого напряжения вырабатывать 100-150% годовых</w:t>
      </w:r>
      <w:r w:rsidR="00972BEA">
        <w:t xml:space="preserve"> доходности</w:t>
      </w:r>
      <w:r w:rsidR="00001CE1">
        <w:t>. В настоящий момент в принадлежащей нам компан</w:t>
      </w:r>
      <w:proofErr w:type="gramStart"/>
      <w:r w:rsidR="00001CE1">
        <w:t>ии ООО</w:t>
      </w:r>
      <w:proofErr w:type="gramEnd"/>
      <w:r w:rsidR="00001CE1">
        <w:t xml:space="preserve"> «СИ-ХОЛДИНГ» </w:t>
      </w:r>
      <w:r w:rsidR="00001CE1" w:rsidRPr="00001CE1">
        <w:rPr>
          <w:i/>
        </w:rPr>
        <w:t>(СПб)</w:t>
      </w:r>
      <w:r w:rsidR="00001CE1">
        <w:t xml:space="preserve"> осуществляется тестирование этих нетрадиционных методов заработка. Алготрейдинг </w:t>
      </w:r>
      <w:proofErr w:type="gramStart"/>
      <w:r w:rsidR="00001CE1">
        <w:t>сопряжён</w:t>
      </w:r>
      <w:proofErr w:type="gramEnd"/>
      <w:r w:rsidR="00001CE1">
        <w:t xml:space="preserve"> с существенным риском просадок </w:t>
      </w:r>
      <w:r w:rsidR="00001CE1" w:rsidRPr="00001CE1">
        <w:rPr>
          <w:i/>
        </w:rPr>
        <w:t>(потерь капитала)</w:t>
      </w:r>
      <w:r w:rsidR="00001CE1">
        <w:t xml:space="preserve">. Похоже на работу АЭС: она может давать мощность в промышленных масштабах, а может и взорваться </w:t>
      </w:r>
      <w:r w:rsidR="00001CE1" w:rsidRPr="00001CE1">
        <w:rPr>
          <w:i/>
        </w:rPr>
        <w:t>(Чернобыль свидетель).</w:t>
      </w:r>
      <w:r w:rsidR="00001CE1">
        <w:t xml:space="preserve"> Во всяком случае, схеме АНЛ нужен генератор свободной наличности, который позволит удержать схему на плаву. И сейчас мы работаем над этим. Если не поддержать нетрадиционную ликвидность традиционной, то схема быстро сойдёт на нет, по причине превращения ЭДР в неликвидный суррогат </w:t>
      </w:r>
      <w:r w:rsidR="00001CE1" w:rsidRPr="00001CE1">
        <w:rPr>
          <w:i/>
        </w:rPr>
        <w:t>(и таких примеров множество в истории)</w:t>
      </w:r>
      <w:r w:rsidR="00001CE1">
        <w:t xml:space="preserve">. Даже МЕФО-векселя, выпущенные третьим рейхом под гарантии Национального банка, принимались предприятиями к оплате неохотно </w:t>
      </w:r>
      <w:r w:rsidR="00001CE1" w:rsidRPr="00972BEA">
        <w:rPr>
          <w:i/>
        </w:rPr>
        <w:t>(не хватало ликвидности).</w:t>
      </w:r>
      <w:r w:rsidR="00001CE1">
        <w:t xml:space="preserve"> Но именно МЕФО-векселя профинансировали половину программы создания вооружений гитлеровской Германии.</w:t>
      </w:r>
    </w:p>
    <w:p w:rsidR="00BC6799" w:rsidRDefault="00BC6799" w:rsidP="00615B1D">
      <w:pPr>
        <w:pStyle w:val="0"/>
      </w:pPr>
    </w:p>
    <w:p w:rsidR="00E446F0" w:rsidRPr="00E446F0" w:rsidRDefault="00E446F0" w:rsidP="00615B1D">
      <w:pPr>
        <w:pStyle w:val="0"/>
        <w:rPr>
          <w:b/>
        </w:rPr>
      </w:pPr>
      <w:r w:rsidRPr="00E446F0">
        <w:rPr>
          <w:b/>
        </w:rPr>
        <w:t>Заключение</w:t>
      </w:r>
    </w:p>
    <w:p w:rsidR="00E446F0" w:rsidRDefault="00E446F0" w:rsidP="00615B1D">
      <w:pPr>
        <w:pStyle w:val="0"/>
      </w:pPr>
    </w:p>
    <w:p w:rsidR="006A008C" w:rsidRDefault="00FB3FB4" w:rsidP="002769D7">
      <w:pPr>
        <w:pStyle w:val="0"/>
      </w:pPr>
      <w:r>
        <w:t xml:space="preserve">Концепция инвестиционного рубля </w:t>
      </w:r>
      <w:r w:rsidRPr="00972BEA">
        <w:rPr>
          <w:i/>
        </w:rPr>
        <w:t>(АНЛ)</w:t>
      </w:r>
      <w:r>
        <w:t xml:space="preserve"> основывается на многолетних авторских исследованиях в области нетрадиционных финансовых систем </w:t>
      </w:r>
      <w:r w:rsidRPr="00FB3FB4">
        <w:rPr>
          <w:b/>
        </w:rPr>
        <w:t>[1]</w:t>
      </w:r>
      <w:r w:rsidRPr="00FB3FB4">
        <w:t xml:space="preserve">. </w:t>
      </w:r>
      <w:r>
        <w:t>Схема АНЛ – это первый шаг в деле переформатирования нерыночного сегмента российской экономики, с созданием новых институтов фи</w:t>
      </w:r>
      <w:bookmarkStart w:id="0" w:name="_GoBack"/>
      <w:bookmarkEnd w:id="0"/>
      <w:r>
        <w:t xml:space="preserve">нансового экономического управления, с возрождением контура стратегического государственного планирования </w:t>
      </w:r>
      <w:r w:rsidRPr="00FB3FB4">
        <w:rPr>
          <w:b/>
        </w:rPr>
        <w:t>[5]</w:t>
      </w:r>
      <w:r>
        <w:t xml:space="preserve">. </w:t>
      </w:r>
    </w:p>
    <w:p w:rsidR="00A06AFA" w:rsidRDefault="00A06AFA" w:rsidP="00615B1D">
      <w:pPr>
        <w:pStyle w:val="0"/>
      </w:pPr>
    </w:p>
    <w:p w:rsidR="00A06AFA" w:rsidRPr="006A008C" w:rsidRDefault="00A06AFA" w:rsidP="00615B1D">
      <w:pPr>
        <w:pStyle w:val="0"/>
      </w:pPr>
    </w:p>
    <w:p w:rsidR="00F64B7F" w:rsidRPr="007E6235" w:rsidRDefault="00F64B7F" w:rsidP="00944146">
      <w:pPr>
        <w:pStyle w:val="6"/>
      </w:pPr>
    </w:p>
    <w:p w:rsidR="00555E52" w:rsidRPr="00A86C2E" w:rsidRDefault="00555E52" w:rsidP="000472B7">
      <w:pPr>
        <w:pStyle w:val="0"/>
        <w:ind w:firstLine="0"/>
        <w:jc w:val="center"/>
        <w:rPr>
          <w:b/>
          <w:sz w:val="24"/>
          <w:szCs w:val="24"/>
        </w:rPr>
      </w:pPr>
      <w:r w:rsidRPr="00A86C2E">
        <w:rPr>
          <w:b/>
          <w:sz w:val="24"/>
          <w:szCs w:val="24"/>
        </w:rPr>
        <w:t>ЛИТЕРАТУРА</w:t>
      </w:r>
    </w:p>
    <w:p w:rsidR="00944146" w:rsidRPr="00A86C2E" w:rsidRDefault="00944146" w:rsidP="00944146">
      <w:pPr>
        <w:pStyle w:val="6"/>
      </w:pPr>
    </w:p>
    <w:p w:rsidR="002769D7" w:rsidRDefault="002769D7" w:rsidP="002769D7">
      <w:pPr>
        <w:pStyle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Недосекин А.О.</w:t>
      </w:r>
      <w:r>
        <w:rPr>
          <w:sz w:val="24"/>
          <w:szCs w:val="24"/>
        </w:rPr>
        <w:t xml:space="preserve"> ЦБ РФ – филиал ФРС США. Сбор доказательств. – Доклад в настоящем сборнике.</w:t>
      </w:r>
    </w:p>
    <w:p w:rsidR="00615B1D" w:rsidRDefault="004A7192" w:rsidP="002769D7">
      <w:pPr>
        <w:pStyle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Недосекин А.О. Новые деньги для новой империи</w:t>
      </w:r>
      <w:r w:rsidR="00615B1D">
        <w:rPr>
          <w:sz w:val="24"/>
          <w:szCs w:val="24"/>
        </w:rPr>
        <w:t xml:space="preserve">. - </w:t>
      </w:r>
      <w:r w:rsidR="00615B1D" w:rsidRPr="00A86C2E">
        <w:rPr>
          <w:sz w:val="24"/>
          <w:szCs w:val="24"/>
        </w:rPr>
        <w:t xml:space="preserve">Режим доступа: </w:t>
      </w:r>
      <w:hyperlink r:id="rId11" w:history="1">
        <w:r w:rsidR="002769D7" w:rsidRPr="002769D7">
          <w:rPr>
            <w:rStyle w:val="ab"/>
            <w:sz w:val="24"/>
            <w:szCs w:val="24"/>
          </w:rPr>
          <w:t>http://an.ifel.ru/docs/NM_AN.pdf</w:t>
        </w:r>
        <w:r w:rsidR="00615B1D" w:rsidRPr="000F235F">
          <w:rPr>
            <w:rStyle w:val="ab"/>
            <w:sz w:val="24"/>
            <w:szCs w:val="24"/>
          </w:rPr>
          <w:t>/</w:t>
        </w:r>
      </w:hyperlink>
      <w:r w:rsidR="00615B1D">
        <w:rPr>
          <w:sz w:val="24"/>
          <w:szCs w:val="24"/>
        </w:rPr>
        <w:t xml:space="preserve"> свободный. - </w:t>
      </w:r>
      <w:r w:rsidR="00615B1D" w:rsidRPr="00A86C2E">
        <w:rPr>
          <w:sz w:val="24"/>
          <w:szCs w:val="24"/>
        </w:rPr>
        <w:t>Загл. с экран</w:t>
      </w:r>
      <w:r>
        <w:rPr>
          <w:sz w:val="24"/>
          <w:szCs w:val="24"/>
        </w:rPr>
        <w:t>а. – Яз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ус. Дата обращения: 16.03</w:t>
      </w:r>
      <w:r w:rsidR="00615B1D">
        <w:rPr>
          <w:sz w:val="24"/>
          <w:szCs w:val="24"/>
        </w:rPr>
        <w:t>.2015</w:t>
      </w:r>
      <w:r w:rsidR="00615B1D" w:rsidRPr="00A86C2E">
        <w:rPr>
          <w:sz w:val="24"/>
          <w:szCs w:val="24"/>
        </w:rPr>
        <w:t>.</w:t>
      </w:r>
    </w:p>
    <w:p w:rsidR="000636D2" w:rsidRPr="0071288D" w:rsidRDefault="000636D2" w:rsidP="000636D2">
      <w:pPr>
        <w:pStyle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KubKaramazoff</w:t>
      </w:r>
      <w:r w:rsidRPr="000636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Франкофинт: с согласованной эмиссией закончили? – Режим доступа: </w:t>
      </w:r>
      <w:hyperlink r:id="rId12" w:history="1">
        <w:r w:rsidRPr="00A9566E">
          <w:rPr>
            <w:rStyle w:val="ab"/>
            <w:sz w:val="24"/>
            <w:szCs w:val="24"/>
          </w:rPr>
          <w:t>http://kubkaramazoff.livejournal.com/196245.html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свободный. - </w:t>
      </w:r>
      <w:r w:rsidRPr="00A86C2E">
        <w:rPr>
          <w:sz w:val="24"/>
          <w:szCs w:val="24"/>
        </w:rPr>
        <w:t>Загл. с экран</w:t>
      </w:r>
      <w:r>
        <w:rPr>
          <w:sz w:val="24"/>
          <w:szCs w:val="24"/>
        </w:rPr>
        <w:t>а. – Яз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ус. Дата обращения: 16.03.2015</w:t>
      </w:r>
      <w:r w:rsidRPr="00A86C2E">
        <w:rPr>
          <w:sz w:val="24"/>
          <w:szCs w:val="24"/>
        </w:rPr>
        <w:t>.</w:t>
      </w:r>
    </w:p>
    <w:p w:rsidR="0071288D" w:rsidRPr="00FB3FB4" w:rsidRDefault="0071288D" w:rsidP="00FB3FB4">
      <w:pPr>
        <w:pStyle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Губернатор Калифорнии официально одобрил биткойн. – Режим доступа: </w:t>
      </w:r>
      <w:hyperlink r:id="rId13" w:history="1">
        <w:r w:rsidRPr="00A9566E">
          <w:rPr>
            <w:rStyle w:val="ab"/>
            <w:sz w:val="24"/>
            <w:szCs w:val="24"/>
          </w:rPr>
          <w:t>http://bitnovosti.com/2015/01/08/bitcoin-accepted-in-california/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свободный. - </w:t>
      </w:r>
      <w:r w:rsidRPr="00A86C2E">
        <w:rPr>
          <w:sz w:val="24"/>
          <w:szCs w:val="24"/>
        </w:rPr>
        <w:t>Загл. с экран</w:t>
      </w:r>
      <w:r>
        <w:rPr>
          <w:sz w:val="24"/>
          <w:szCs w:val="24"/>
        </w:rPr>
        <w:t>а. – Яз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ус. Дата обращения: 16.03.2015</w:t>
      </w:r>
      <w:r w:rsidRPr="00A86C2E">
        <w:rPr>
          <w:sz w:val="24"/>
          <w:szCs w:val="24"/>
        </w:rPr>
        <w:t>.</w:t>
      </w:r>
    </w:p>
    <w:p w:rsidR="00FB3FB4" w:rsidRPr="0071288D" w:rsidRDefault="00FB3FB4" w:rsidP="00FB3FB4">
      <w:pPr>
        <w:pStyle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Глазьев С.Ю. Нас </w:t>
      </w:r>
      <w:r w:rsidR="00184C1F">
        <w:rPr>
          <w:sz w:val="24"/>
          <w:szCs w:val="24"/>
        </w:rPr>
        <w:t>«</w:t>
      </w:r>
      <w:r>
        <w:rPr>
          <w:sz w:val="24"/>
          <w:szCs w:val="24"/>
        </w:rPr>
        <w:t>раскатали</w:t>
      </w:r>
      <w:r w:rsidR="00184C1F">
        <w:rPr>
          <w:sz w:val="24"/>
          <w:szCs w:val="24"/>
        </w:rPr>
        <w:t>»</w:t>
      </w:r>
      <w:r>
        <w:rPr>
          <w:sz w:val="24"/>
          <w:szCs w:val="24"/>
        </w:rPr>
        <w:t xml:space="preserve">. И это будут делать, пока мы не возродим планирование. -  </w:t>
      </w:r>
      <w:r w:rsidRPr="00A86C2E">
        <w:rPr>
          <w:sz w:val="24"/>
          <w:szCs w:val="24"/>
        </w:rPr>
        <w:t xml:space="preserve">Режим доступа: </w:t>
      </w:r>
      <w:hyperlink r:id="rId14" w:history="1">
        <w:r w:rsidRPr="00A9566E">
          <w:rPr>
            <w:rStyle w:val="ab"/>
            <w:sz w:val="24"/>
            <w:szCs w:val="24"/>
          </w:rPr>
          <w:t>http://www.nakanune.ru/articles/110195/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свободный. - </w:t>
      </w:r>
      <w:r w:rsidRPr="00A86C2E">
        <w:rPr>
          <w:sz w:val="24"/>
          <w:szCs w:val="24"/>
        </w:rPr>
        <w:t>Загл. с экран</w:t>
      </w:r>
      <w:r>
        <w:rPr>
          <w:sz w:val="24"/>
          <w:szCs w:val="24"/>
        </w:rPr>
        <w:t>а. – Яз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ус. Дата обращения: 16.03.2015</w:t>
      </w:r>
      <w:r w:rsidRPr="00A86C2E">
        <w:rPr>
          <w:sz w:val="24"/>
          <w:szCs w:val="24"/>
        </w:rPr>
        <w:t>.</w:t>
      </w:r>
    </w:p>
    <w:p w:rsidR="00BE4F43" w:rsidRPr="004A7192" w:rsidRDefault="00BE4F43" w:rsidP="00FB3FB4">
      <w:pPr>
        <w:pStyle w:val="0"/>
        <w:ind w:firstLine="0"/>
        <w:rPr>
          <w:sz w:val="24"/>
          <w:szCs w:val="24"/>
          <w:highlight w:val="green"/>
        </w:rPr>
      </w:pPr>
    </w:p>
    <w:sectPr w:rsidR="00BE4F43" w:rsidRPr="004A7192" w:rsidSect="008D4C76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8" w:rsidRDefault="00C371F8" w:rsidP="00DC442F">
      <w:pPr>
        <w:spacing w:after="0" w:line="240" w:lineRule="auto"/>
      </w:pPr>
      <w:r>
        <w:separator/>
      </w:r>
    </w:p>
  </w:endnote>
  <w:endnote w:type="continuationSeparator" w:id="0">
    <w:p w:rsidR="00C371F8" w:rsidRDefault="00C371F8" w:rsidP="00DC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3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DC2" w:rsidRPr="00FF58BB" w:rsidRDefault="00CD2DC2" w:rsidP="00FF58BB">
        <w:pPr>
          <w:pStyle w:val="a7"/>
          <w:jc w:val="right"/>
          <w:rPr>
            <w:rFonts w:ascii="Times New Roman" w:hAnsi="Times New Roman" w:cs="Times New Roman"/>
          </w:rPr>
        </w:pPr>
        <w:r w:rsidRPr="00FF58BB">
          <w:rPr>
            <w:rFonts w:ascii="Times New Roman" w:hAnsi="Times New Roman" w:cs="Times New Roman"/>
          </w:rPr>
          <w:fldChar w:fldCharType="begin"/>
        </w:r>
        <w:r w:rsidRPr="00FF58BB">
          <w:rPr>
            <w:rFonts w:ascii="Times New Roman" w:hAnsi="Times New Roman" w:cs="Times New Roman"/>
          </w:rPr>
          <w:instrText xml:space="preserve"> PAGE   \* MERGEFORMAT </w:instrText>
        </w:r>
        <w:r w:rsidRPr="00FF58BB">
          <w:rPr>
            <w:rFonts w:ascii="Times New Roman" w:hAnsi="Times New Roman" w:cs="Times New Roman"/>
          </w:rPr>
          <w:fldChar w:fldCharType="separate"/>
        </w:r>
        <w:r w:rsidR="00184C1F">
          <w:rPr>
            <w:rFonts w:ascii="Times New Roman" w:hAnsi="Times New Roman" w:cs="Times New Roman"/>
            <w:noProof/>
          </w:rPr>
          <w:t>1</w:t>
        </w:r>
        <w:r w:rsidRPr="00FF58B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8" w:rsidRDefault="00C371F8" w:rsidP="00DC442F">
      <w:pPr>
        <w:spacing w:after="0" w:line="240" w:lineRule="auto"/>
      </w:pPr>
      <w:r>
        <w:separator/>
      </w:r>
    </w:p>
  </w:footnote>
  <w:footnote w:type="continuationSeparator" w:id="0">
    <w:p w:rsidR="00C371F8" w:rsidRDefault="00C371F8" w:rsidP="00DC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6B0"/>
    <w:multiLevelType w:val="hybridMultilevel"/>
    <w:tmpl w:val="E65E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2C87"/>
    <w:multiLevelType w:val="hybridMultilevel"/>
    <w:tmpl w:val="6E52BDEA"/>
    <w:lvl w:ilvl="0" w:tplc="5EB4A5F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351"/>
    <w:multiLevelType w:val="hybridMultilevel"/>
    <w:tmpl w:val="B1801E5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34293AD9"/>
    <w:multiLevelType w:val="hybridMultilevel"/>
    <w:tmpl w:val="DE96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1883"/>
    <w:multiLevelType w:val="hybridMultilevel"/>
    <w:tmpl w:val="0E38B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C23589"/>
    <w:multiLevelType w:val="hybridMultilevel"/>
    <w:tmpl w:val="03841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CE24D9"/>
    <w:multiLevelType w:val="hybridMultilevel"/>
    <w:tmpl w:val="A97A2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F551B4"/>
    <w:multiLevelType w:val="hybridMultilevel"/>
    <w:tmpl w:val="3D8E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53C8"/>
    <w:multiLevelType w:val="hybridMultilevel"/>
    <w:tmpl w:val="B850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150AC"/>
    <w:multiLevelType w:val="hybridMultilevel"/>
    <w:tmpl w:val="560C7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897360"/>
    <w:multiLevelType w:val="hybridMultilevel"/>
    <w:tmpl w:val="099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B0301"/>
    <w:multiLevelType w:val="hybridMultilevel"/>
    <w:tmpl w:val="C4686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16"/>
    <w:rsid w:val="00001CE1"/>
    <w:rsid w:val="00016D19"/>
    <w:rsid w:val="0003390C"/>
    <w:rsid w:val="000345CC"/>
    <w:rsid w:val="00035409"/>
    <w:rsid w:val="00040696"/>
    <w:rsid w:val="000472B7"/>
    <w:rsid w:val="000502C6"/>
    <w:rsid w:val="000636D2"/>
    <w:rsid w:val="00065EF0"/>
    <w:rsid w:val="0007209D"/>
    <w:rsid w:val="00091E3D"/>
    <w:rsid w:val="000B6AEE"/>
    <w:rsid w:val="000B7267"/>
    <w:rsid w:val="00101893"/>
    <w:rsid w:val="00111DC9"/>
    <w:rsid w:val="00123054"/>
    <w:rsid w:val="00132D1E"/>
    <w:rsid w:val="00141E42"/>
    <w:rsid w:val="001528FC"/>
    <w:rsid w:val="0016151B"/>
    <w:rsid w:val="00166D25"/>
    <w:rsid w:val="00170746"/>
    <w:rsid w:val="00184C1F"/>
    <w:rsid w:val="00186810"/>
    <w:rsid w:val="00196BEA"/>
    <w:rsid w:val="001C549D"/>
    <w:rsid w:val="001F78D5"/>
    <w:rsid w:val="0020621D"/>
    <w:rsid w:val="002431FC"/>
    <w:rsid w:val="002769D7"/>
    <w:rsid w:val="002959B6"/>
    <w:rsid w:val="002D6993"/>
    <w:rsid w:val="002D72FD"/>
    <w:rsid w:val="002E3E9E"/>
    <w:rsid w:val="002F6707"/>
    <w:rsid w:val="00300502"/>
    <w:rsid w:val="00300931"/>
    <w:rsid w:val="00314B07"/>
    <w:rsid w:val="00326667"/>
    <w:rsid w:val="00345482"/>
    <w:rsid w:val="00352AA9"/>
    <w:rsid w:val="003909A9"/>
    <w:rsid w:val="00390AFB"/>
    <w:rsid w:val="003B4187"/>
    <w:rsid w:val="004058CB"/>
    <w:rsid w:val="00445C27"/>
    <w:rsid w:val="00453FFB"/>
    <w:rsid w:val="00461E1C"/>
    <w:rsid w:val="0046247A"/>
    <w:rsid w:val="00462D69"/>
    <w:rsid w:val="00480C95"/>
    <w:rsid w:val="0049591B"/>
    <w:rsid w:val="004969FD"/>
    <w:rsid w:val="004A7192"/>
    <w:rsid w:val="004D59AC"/>
    <w:rsid w:val="004F734E"/>
    <w:rsid w:val="004F7907"/>
    <w:rsid w:val="005034BD"/>
    <w:rsid w:val="00555E52"/>
    <w:rsid w:val="00581FA7"/>
    <w:rsid w:val="00582F9D"/>
    <w:rsid w:val="005D6E2A"/>
    <w:rsid w:val="005E4B43"/>
    <w:rsid w:val="005F30C6"/>
    <w:rsid w:val="00603AD1"/>
    <w:rsid w:val="006145EB"/>
    <w:rsid w:val="00615B1D"/>
    <w:rsid w:val="0061624E"/>
    <w:rsid w:val="006643C7"/>
    <w:rsid w:val="00675746"/>
    <w:rsid w:val="00693D7D"/>
    <w:rsid w:val="006A008C"/>
    <w:rsid w:val="006A2DDE"/>
    <w:rsid w:val="006B3C47"/>
    <w:rsid w:val="006B740F"/>
    <w:rsid w:val="0071288D"/>
    <w:rsid w:val="0071531F"/>
    <w:rsid w:val="00715C6D"/>
    <w:rsid w:val="00717CA5"/>
    <w:rsid w:val="00735548"/>
    <w:rsid w:val="00771F71"/>
    <w:rsid w:val="007775DE"/>
    <w:rsid w:val="007A5E9D"/>
    <w:rsid w:val="007D539C"/>
    <w:rsid w:val="007E6235"/>
    <w:rsid w:val="007F09CD"/>
    <w:rsid w:val="00830288"/>
    <w:rsid w:val="0083307C"/>
    <w:rsid w:val="0083493D"/>
    <w:rsid w:val="00835D2B"/>
    <w:rsid w:val="008547A5"/>
    <w:rsid w:val="00880ECC"/>
    <w:rsid w:val="00881DE7"/>
    <w:rsid w:val="008A70C1"/>
    <w:rsid w:val="008D4C76"/>
    <w:rsid w:val="00927A8B"/>
    <w:rsid w:val="009314E6"/>
    <w:rsid w:val="00932C9A"/>
    <w:rsid w:val="00944146"/>
    <w:rsid w:val="009527FF"/>
    <w:rsid w:val="00972BEA"/>
    <w:rsid w:val="00A05342"/>
    <w:rsid w:val="00A06AFA"/>
    <w:rsid w:val="00A2678A"/>
    <w:rsid w:val="00A37950"/>
    <w:rsid w:val="00A4013D"/>
    <w:rsid w:val="00A47EA0"/>
    <w:rsid w:val="00A507E0"/>
    <w:rsid w:val="00A56A58"/>
    <w:rsid w:val="00A70165"/>
    <w:rsid w:val="00A704CE"/>
    <w:rsid w:val="00A746BD"/>
    <w:rsid w:val="00A86C2E"/>
    <w:rsid w:val="00A911A9"/>
    <w:rsid w:val="00A969E7"/>
    <w:rsid w:val="00AA5397"/>
    <w:rsid w:val="00AB06AD"/>
    <w:rsid w:val="00AB4EFF"/>
    <w:rsid w:val="00AB6675"/>
    <w:rsid w:val="00AD2A82"/>
    <w:rsid w:val="00AD6614"/>
    <w:rsid w:val="00B37BB8"/>
    <w:rsid w:val="00B741E3"/>
    <w:rsid w:val="00B755C7"/>
    <w:rsid w:val="00B8416D"/>
    <w:rsid w:val="00BA4FDA"/>
    <w:rsid w:val="00BB3F77"/>
    <w:rsid w:val="00BB5852"/>
    <w:rsid w:val="00BC6799"/>
    <w:rsid w:val="00BC7CFD"/>
    <w:rsid w:val="00BD0C7A"/>
    <w:rsid w:val="00BD7CC0"/>
    <w:rsid w:val="00BE2C22"/>
    <w:rsid w:val="00BE41AD"/>
    <w:rsid w:val="00BE4F43"/>
    <w:rsid w:val="00C0391A"/>
    <w:rsid w:val="00C371F8"/>
    <w:rsid w:val="00C52D2F"/>
    <w:rsid w:val="00CD2DC2"/>
    <w:rsid w:val="00CD69F5"/>
    <w:rsid w:val="00D00CD5"/>
    <w:rsid w:val="00D04BB9"/>
    <w:rsid w:val="00D06196"/>
    <w:rsid w:val="00D12F07"/>
    <w:rsid w:val="00D25CC6"/>
    <w:rsid w:val="00D424B0"/>
    <w:rsid w:val="00D45173"/>
    <w:rsid w:val="00D5169B"/>
    <w:rsid w:val="00D57BD9"/>
    <w:rsid w:val="00D618B1"/>
    <w:rsid w:val="00D74351"/>
    <w:rsid w:val="00DA7DC6"/>
    <w:rsid w:val="00DB096F"/>
    <w:rsid w:val="00DC442F"/>
    <w:rsid w:val="00DF3D30"/>
    <w:rsid w:val="00DF6AE2"/>
    <w:rsid w:val="00E019A0"/>
    <w:rsid w:val="00E04008"/>
    <w:rsid w:val="00E2466C"/>
    <w:rsid w:val="00E32B05"/>
    <w:rsid w:val="00E446F0"/>
    <w:rsid w:val="00E57BA1"/>
    <w:rsid w:val="00E642F2"/>
    <w:rsid w:val="00E65A6D"/>
    <w:rsid w:val="00E65DC8"/>
    <w:rsid w:val="00E741F9"/>
    <w:rsid w:val="00E74A6A"/>
    <w:rsid w:val="00E92377"/>
    <w:rsid w:val="00EA604C"/>
    <w:rsid w:val="00EB5EF1"/>
    <w:rsid w:val="00EB7B43"/>
    <w:rsid w:val="00ED0B5C"/>
    <w:rsid w:val="00EE2399"/>
    <w:rsid w:val="00EE74F8"/>
    <w:rsid w:val="00EF46DD"/>
    <w:rsid w:val="00F025DD"/>
    <w:rsid w:val="00F13954"/>
    <w:rsid w:val="00F22CFB"/>
    <w:rsid w:val="00F376C7"/>
    <w:rsid w:val="00F444F8"/>
    <w:rsid w:val="00F64B7F"/>
    <w:rsid w:val="00F93A05"/>
    <w:rsid w:val="00FA377B"/>
    <w:rsid w:val="00FB3FB4"/>
    <w:rsid w:val="00FE3BDA"/>
    <w:rsid w:val="00FE5D1D"/>
    <w:rsid w:val="00FF4616"/>
    <w:rsid w:val="00FF58BB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F6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166D2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DC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C442F"/>
  </w:style>
  <w:style w:type="paragraph" w:styleId="a7">
    <w:name w:val="footer"/>
    <w:basedOn w:val="a0"/>
    <w:link w:val="a8"/>
    <w:uiPriority w:val="99"/>
    <w:unhideWhenUsed/>
    <w:rsid w:val="00DC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C442F"/>
  </w:style>
  <w:style w:type="paragraph" w:styleId="a9">
    <w:name w:val="Balloon Text"/>
    <w:basedOn w:val="a0"/>
    <w:link w:val="aa"/>
    <w:uiPriority w:val="99"/>
    <w:semiHidden/>
    <w:unhideWhenUsed/>
    <w:rsid w:val="00E5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7BA1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2F6707"/>
    <w:rPr>
      <w:color w:val="0000FF" w:themeColor="hyperlink"/>
      <w:u w:val="single"/>
    </w:rPr>
  </w:style>
  <w:style w:type="paragraph" w:customStyle="1" w:styleId="6">
    <w:name w:val="6 пт"/>
    <w:basedOn w:val="a0"/>
    <w:link w:val="60"/>
    <w:qFormat/>
    <w:rsid w:val="008D4C76"/>
    <w:pPr>
      <w:spacing w:after="0" w:line="240" w:lineRule="auto"/>
      <w:contextualSpacing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0">
    <w:name w:val="0_Текст"/>
    <w:basedOn w:val="a0"/>
    <w:link w:val="00"/>
    <w:qFormat/>
    <w:rsid w:val="008D4C76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6 пт Знак"/>
    <w:basedOn w:val="a1"/>
    <w:link w:val="6"/>
    <w:rsid w:val="008D4C76"/>
    <w:rPr>
      <w:rFonts w:ascii="Times New Roman" w:hAnsi="Times New Roman" w:cs="Times New Roman"/>
      <w:sz w:val="12"/>
      <w:szCs w:val="12"/>
    </w:rPr>
  </w:style>
  <w:style w:type="paragraph" w:customStyle="1" w:styleId="a">
    <w:name w:val="Булет"/>
    <w:basedOn w:val="0"/>
    <w:link w:val="ac"/>
    <w:qFormat/>
    <w:rsid w:val="008D4C76"/>
    <w:pPr>
      <w:numPr>
        <w:numId w:val="4"/>
      </w:numPr>
    </w:pPr>
  </w:style>
  <w:style w:type="character" w:customStyle="1" w:styleId="00">
    <w:name w:val="0_Текст Знак"/>
    <w:basedOn w:val="a1"/>
    <w:link w:val="0"/>
    <w:rsid w:val="008D4C76"/>
    <w:rPr>
      <w:rFonts w:ascii="Times New Roman" w:hAnsi="Times New Roman" w:cs="Times New Roman"/>
      <w:sz w:val="28"/>
      <w:szCs w:val="28"/>
    </w:rPr>
  </w:style>
  <w:style w:type="character" w:styleId="ad">
    <w:name w:val="FollowedHyperlink"/>
    <w:basedOn w:val="a1"/>
    <w:uiPriority w:val="99"/>
    <w:semiHidden/>
    <w:unhideWhenUsed/>
    <w:rsid w:val="000472B7"/>
    <w:rPr>
      <w:color w:val="800080" w:themeColor="followedHyperlink"/>
      <w:u w:val="single"/>
    </w:rPr>
  </w:style>
  <w:style w:type="character" w:customStyle="1" w:styleId="ac">
    <w:name w:val="Булет Знак"/>
    <w:basedOn w:val="00"/>
    <w:link w:val="a"/>
    <w:rsid w:val="008D4C7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6A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F6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166D2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DC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C442F"/>
  </w:style>
  <w:style w:type="paragraph" w:styleId="a7">
    <w:name w:val="footer"/>
    <w:basedOn w:val="a0"/>
    <w:link w:val="a8"/>
    <w:uiPriority w:val="99"/>
    <w:unhideWhenUsed/>
    <w:rsid w:val="00DC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C442F"/>
  </w:style>
  <w:style w:type="paragraph" w:styleId="a9">
    <w:name w:val="Balloon Text"/>
    <w:basedOn w:val="a0"/>
    <w:link w:val="aa"/>
    <w:uiPriority w:val="99"/>
    <w:semiHidden/>
    <w:unhideWhenUsed/>
    <w:rsid w:val="00E5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7BA1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2F6707"/>
    <w:rPr>
      <w:color w:val="0000FF" w:themeColor="hyperlink"/>
      <w:u w:val="single"/>
    </w:rPr>
  </w:style>
  <w:style w:type="paragraph" w:customStyle="1" w:styleId="6">
    <w:name w:val="6 пт"/>
    <w:basedOn w:val="a0"/>
    <w:link w:val="60"/>
    <w:qFormat/>
    <w:rsid w:val="008D4C76"/>
    <w:pPr>
      <w:spacing w:after="0" w:line="240" w:lineRule="auto"/>
      <w:contextualSpacing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0">
    <w:name w:val="0_Текст"/>
    <w:basedOn w:val="a0"/>
    <w:link w:val="00"/>
    <w:qFormat/>
    <w:rsid w:val="008D4C76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60">
    <w:name w:val="6 пт Знак"/>
    <w:basedOn w:val="a1"/>
    <w:link w:val="6"/>
    <w:rsid w:val="008D4C76"/>
    <w:rPr>
      <w:rFonts w:ascii="Times New Roman" w:hAnsi="Times New Roman" w:cs="Times New Roman"/>
      <w:sz w:val="12"/>
      <w:szCs w:val="12"/>
    </w:rPr>
  </w:style>
  <w:style w:type="paragraph" w:customStyle="1" w:styleId="a">
    <w:name w:val="Булет"/>
    <w:basedOn w:val="0"/>
    <w:link w:val="ac"/>
    <w:qFormat/>
    <w:rsid w:val="008D4C76"/>
    <w:pPr>
      <w:numPr>
        <w:numId w:val="4"/>
      </w:numPr>
    </w:pPr>
  </w:style>
  <w:style w:type="character" w:customStyle="1" w:styleId="00">
    <w:name w:val="0_Текст Знак"/>
    <w:basedOn w:val="a1"/>
    <w:link w:val="0"/>
    <w:rsid w:val="008D4C76"/>
    <w:rPr>
      <w:rFonts w:ascii="Times New Roman" w:hAnsi="Times New Roman" w:cs="Times New Roman"/>
      <w:sz w:val="28"/>
      <w:szCs w:val="28"/>
    </w:rPr>
  </w:style>
  <w:style w:type="character" w:styleId="ad">
    <w:name w:val="FollowedHyperlink"/>
    <w:basedOn w:val="a1"/>
    <w:uiPriority w:val="99"/>
    <w:semiHidden/>
    <w:unhideWhenUsed/>
    <w:rsid w:val="000472B7"/>
    <w:rPr>
      <w:color w:val="800080" w:themeColor="followedHyperlink"/>
      <w:u w:val="single"/>
    </w:rPr>
  </w:style>
  <w:style w:type="character" w:customStyle="1" w:styleId="ac">
    <w:name w:val="Булет Знак"/>
    <w:basedOn w:val="00"/>
    <w:link w:val="a"/>
    <w:rsid w:val="008D4C7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6A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novosti.com/2015/01/08/bitcoin-accepted-in-californi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bkaramazoff.livejournal.com/19624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prosik.net/centrobanki-protiv-pravitelst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nakanune.ru/articles/110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F9E9-B8B1-420B-A7D8-9013B506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2015-03-16T08:48:00Z</dcterms:created>
  <dcterms:modified xsi:type="dcterms:W3CDTF">2015-03-16T12:21:00Z</dcterms:modified>
</cp:coreProperties>
</file>